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8F" w:rsidRDefault="009F018F" w:rsidP="009F018F">
      <w:pPr>
        <w:pStyle w:val="NoSpacing"/>
      </w:pPr>
    </w:p>
    <w:p w:rsidR="009F018F" w:rsidRDefault="009F018F" w:rsidP="009F018F">
      <w:pPr>
        <w:pStyle w:val="NoSpacing"/>
      </w:pPr>
      <w:r>
        <w:t>May 10</w:t>
      </w:r>
      <w:r w:rsidRPr="009F018F">
        <w:rPr>
          <w:vertAlign w:val="superscript"/>
        </w:rPr>
        <w:t>th</w:t>
      </w:r>
      <w:r>
        <w:t>, 2017</w:t>
      </w:r>
    </w:p>
    <w:p w:rsidR="009F018F" w:rsidRDefault="009F018F" w:rsidP="009F018F">
      <w:pPr>
        <w:pStyle w:val="NoSpacing"/>
      </w:pPr>
      <w:r>
        <w:t>Kathleen MacEachern</w:t>
      </w:r>
    </w:p>
    <w:p w:rsidR="009F018F" w:rsidRDefault="009F018F" w:rsidP="009F018F">
      <w:pPr>
        <w:pStyle w:val="NoSpacing"/>
      </w:pPr>
      <w:r>
        <w:t>kathleen@halifaxchamber.com</w:t>
      </w:r>
    </w:p>
    <w:p w:rsidR="009F018F" w:rsidRDefault="009F018F" w:rsidP="00F25EEF">
      <w:pPr>
        <w:jc w:val="center"/>
        <w:rPr>
          <w:rFonts w:ascii="Calibri" w:hAnsi="Calibri"/>
          <w:b/>
        </w:rPr>
      </w:pPr>
    </w:p>
    <w:p w:rsidR="00F25EEF" w:rsidRPr="00313643" w:rsidRDefault="00F25EEF" w:rsidP="00F25EEF">
      <w:pPr>
        <w:jc w:val="center"/>
        <w:rPr>
          <w:rFonts w:ascii="Calibri" w:hAnsi="Calibri"/>
          <w:b/>
        </w:rPr>
      </w:pPr>
      <w:r w:rsidRPr="00313643">
        <w:rPr>
          <w:rFonts w:ascii="Calibri" w:hAnsi="Calibri"/>
          <w:b/>
        </w:rPr>
        <w:t xml:space="preserve">The Cost </w:t>
      </w:r>
      <w:r w:rsidR="00312CEB" w:rsidRPr="00313643">
        <w:rPr>
          <w:rFonts w:ascii="Calibri" w:hAnsi="Calibri"/>
          <w:b/>
        </w:rPr>
        <w:t>(and Benefit</w:t>
      </w:r>
      <w:r w:rsidR="0029505A" w:rsidRPr="00313643">
        <w:rPr>
          <w:rFonts w:ascii="Calibri" w:hAnsi="Calibri"/>
          <w:b/>
        </w:rPr>
        <w:t xml:space="preserve">) </w:t>
      </w:r>
      <w:r w:rsidRPr="00313643">
        <w:rPr>
          <w:rFonts w:ascii="Calibri" w:hAnsi="Calibri"/>
          <w:b/>
        </w:rPr>
        <w:t>of Doing the Right Thing</w:t>
      </w:r>
    </w:p>
    <w:p w:rsidR="005C17D5" w:rsidRPr="00313643" w:rsidRDefault="00D72496" w:rsidP="005C17D5">
      <w:pPr>
        <w:pStyle w:val="NoSpacing"/>
        <w:rPr>
          <w:rFonts w:ascii="Calibri" w:hAnsi="Calibri"/>
          <w:b/>
        </w:rPr>
      </w:pPr>
      <w:r w:rsidRPr="00313643">
        <w:rPr>
          <w:rFonts w:ascii="Calibri" w:hAnsi="Calibri"/>
          <w:b/>
        </w:rPr>
        <w:t>Nova Scotia</w:t>
      </w:r>
    </w:p>
    <w:p w:rsidR="00F25EEF" w:rsidRPr="00313643" w:rsidRDefault="00F25EEF" w:rsidP="005C17D5">
      <w:pPr>
        <w:pStyle w:val="NoSpacing"/>
        <w:rPr>
          <w:rFonts w:ascii="Calibri" w:hAnsi="Calibri"/>
        </w:rPr>
      </w:pPr>
      <w:r w:rsidRPr="00313643">
        <w:rPr>
          <w:rFonts w:ascii="Calibri" w:hAnsi="Calibri"/>
        </w:rPr>
        <w:t>Nova Scotia recently rewrote the Accessibility Act garnering more support due to its stronger lan</w:t>
      </w:r>
      <w:r w:rsidR="000931A7" w:rsidRPr="00313643">
        <w:rPr>
          <w:rFonts w:ascii="Calibri" w:hAnsi="Calibri"/>
        </w:rPr>
        <w:t>guage and harsher penalties. Bill 59</w:t>
      </w:r>
      <w:r w:rsidRPr="00313643">
        <w:rPr>
          <w:rFonts w:ascii="Calibri" w:hAnsi="Calibri"/>
        </w:rPr>
        <w:t xml:space="preserve"> w</w:t>
      </w:r>
      <w:r w:rsidR="00E43506" w:rsidRPr="00313643">
        <w:rPr>
          <w:rFonts w:ascii="Calibri" w:hAnsi="Calibri"/>
        </w:rPr>
        <w:t>as</w:t>
      </w:r>
      <w:r w:rsidR="00174325">
        <w:rPr>
          <w:rFonts w:ascii="Calibri" w:hAnsi="Calibri"/>
        </w:rPr>
        <w:t xml:space="preserve"> passed on April 28</w:t>
      </w:r>
      <w:r w:rsidR="00174325" w:rsidRPr="00174325">
        <w:rPr>
          <w:rFonts w:ascii="Calibri" w:hAnsi="Calibri"/>
          <w:vertAlign w:val="superscript"/>
        </w:rPr>
        <w:t>th</w:t>
      </w:r>
      <w:r w:rsidR="00174325">
        <w:rPr>
          <w:rFonts w:ascii="Calibri" w:hAnsi="Calibri"/>
        </w:rPr>
        <w:t>, 2017</w:t>
      </w:r>
      <w:r w:rsidRPr="00313643">
        <w:rPr>
          <w:rFonts w:ascii="Calibri" w:hAnsi="Calibri"/>
        </w:rPr>
        <w:t xml:space="preserve"> by the house starting the Province’s journey to improve the lives of Nova Scotians with disabilities by 2030. We all know that this is the right thing to do. That through accessibility standards those with disabilities will have a greater chance of independence in their personal and professional lives. But while </w:t>
      </w:r>
      <w:r w:rsidR="00D465E8" w:rsidRPr="00313643">
        <w:rPr>
          <w:rFonts w:ascii="Calibri" w:hAnsi="Calibri"/>
        </w:rPr>
        <w:t>the</w:t>
      </w:r>
      <w:r w:rsidRPr="00313643">
        <w:rPr>
          <w:rFonts w:ascii="Calibri" w:hAnsi="Calibri"/>
        </w:rPr>
        <w:t xml:space="preserve"> Act will improve the lives of those with disabilities it comes at a cost to the businesses, organizations and government departments who will now have to ensure they are prepared to facilitate all disabilities in the workplace. </w:t>
      </w:r>
    </w:p>
    <w:p w:rsidR="005C17D5" w:rsidRPr="00313643" w:rsidRDefault="005C17D5">
      <w:pPr>
        <w:rPr>
          <w:rFonts w:ascii="Calibri" w:hAnsi="Calibri"/>
          <w:b/>
        </w:rPr>
      </w:pPr>
    </w:p>
    <w:p w:rsidR="005C17D5" w:rsidRPr="00313643" w:rsidRDefault="00D72496" w:rsidP="005C17D5">
      <w:pPr>
        <w:pStyle w:val="NoSpacing"/>
        <w:rPr>
          <w:rFonts w:ascii="Calibri" w:hAnsi="Calibri"/>
          <w:b/>
        </w:rPr>
      </w:pPr>
      <w:r w:rsidRPr="00313643">
        <w:rPr>
          <w:rFonts w:ascii="Calibri" w:hAnsi="Calibri"/>
          <w:b/>
        </w:rPr>
        <w:t>Canadian Examples</w:t>
      </w:r>
    </w:p>
    <w:p w:rsidR="00D72496" w:rsidRPr="00313643" w:rsidRDefault="009A20A8" w:rsidP="005C17D5">
      <w:pPr>
        <w:pStyle w:val="NoSpacing"/>
        <w:rPr>
          <w:rFonts w:ascii="Calibri" w:hAnsi="Calibri"/>
        </w:rPr>
      </w:pPr>
      <w:r w:rsidRPr="00313643">
        <w:rPr>
          <w:rFonts w:ascii="Calibri" w:hAnsi="Calibri"/>
        </w:rPr>
        <w:t>In November of 2014 Ontario set out to review their Accessibility for Ontarians with Disabilities Act, 2005</w:t>
      </w:r>
      <w:r w:rsidR="00886C9D" w:rsidRPr="00313643">
        <w:rPr>
          <w:rFonts w:ascii="Calibri" w:hAnsi="Calibri"/>
        </w:rPr>
        <w:t>,</w:t>
      </w:r>
      <w:r w:rsidRPr="00313643">
        <w:rPr>
          <w:rFonts w:ascii="Calibri" w:hAnsi="Calibri"/>
        </w:rPr>
        <w:t xml:space="preserve"> to dete</w:t>
      </w:r>
      <w:r w:rsidR="000931A7" w:rsidRPr="00313643">
        <w:rPr>
          <w:rFonts w:ascii="Calibri" w:hAnsi="Calibri"/>
        </w:rPr>
        <w:t>rmine</w:t>
      </w:r>
      <w:r w:rsidRPr="00313643">
        <w:rPr>
          <w:rFonts w:ascii="Calibri" w:hAnsi="Calibri"/>
        </w:rPr>
        <w:t xml:space="preserve"> its effectiveness, challenges and areas for improvement. Not surprisingly, cost of implementation was found to be a challenge for organizations</w:t>
      </w:r>
      <w:r w:rsidR="00A94E4B" w:rsidRPr="00313643">
        <w:rPr>
          <w:rFonts w:ascii="Calibri" w:hAnsi="Calibri"/>
        </w:rPr>
        <w:t>. O</w:t>
      </w:r>
      <w:r w:rsidRPr="00313643">
        <w:rPr>
          <w:rFonts w:ascii="Calibri" w:hAnsi="Calibri"/>
        </w:rPr>
        <w:t>rganizations of all sizes were worried, and rightly so, about the significant unbudgeted costs that would be incurred to meet legislation. Costs incl</w:t>
      </w:r>
      <w:r w:rsidR="000931A7" w:rsidRPr="00313643">
        <w:rPr>
          <w:rFonts w:ascii="Calibri" w:hAnsi="Calibri"/>
        </w:rPr>
        <w:t>uded infrastructure and operations</w:t>
      </w:r>
      <w:r w:rsidRPr="00313643">
        <w:rPr>
          <w:rFonts w:ascii="Calibri" w:hAnsi="Calibri"/>
        </w:rPr>
        <w:t xml:space="preserve"> needed to cover areas ranging from ongoing facility maintenance to inclusion training. </w:t>
      </w:r>
    </w:p>
    <w:p w:rsidR="00F4407D" w:rsidRPr="00313643" w:rsidRDefault="00F4407D" w:rsidP="00521A02">
      <w:pPr>
        <w:spacing w:after="0"/>
        <w:ind w:left="1296" w:right="1296"/>
        <w:rPr>
          <w:rFonts w:ascii="Calibri" w:hAnsi="Calibri"/>
          <w:color w:val="595959" w:themeColor="text1" w:themeTint="A6"/>
        </w:rPr>
      </w:pPr>
    </w:p>
    <w:p w:rsidR="00521A02" w:rsidRPr="00313643" w:rsidRDefault="00521A02" w:rsidP="00521A02">
      <w:pPr>
        <w:spacing w:after="0"/>
        <w:ind w:left="1296" w:right="1296"/>
        <w:rPr>
          <w:rFonts w:ascii="Calibri" w:hAnsi="Calibri"/>
          <w:color w:val="595959" w:themeColor="text1" w:themeTint="A6"/>
        </w:rPr>
      </w:pPr>
      <w:r w:rsidRPr="00313643">
        <w:rPr>
          <w:rFonts w:ascii="Calibri" w:hAnsi="Calibri"/>
          <w:color w:val="595959" w:themeColor="text1" w:themeTint="A6"/>
        </w:rPr>
        <w:t>“Small business said the cost of complying with regulations at all levels of government is an increasing challenge and the needs of small firms in particular should be kept in mind when bringing in new regulations”</w:t>
      </w:r>
    </w:p>
    <w:p w:rsidR="00521A02" w:rsidRPr="00313643" w:rsidRDefault="00521A02" w:rsidP="00F4407D">
      <w:pPr>
        <w:spacing w:after="0"/>
        <w:ind w:left="4176" w:right="1296" w:firstLine="144"/>
        <w:rPr>
          <w:rFonts w:ascii="Calibri" w:hAnsi="Calibri"/>
          <w:color w:val="595959" w:themeColor="text1" w:themeTint="A6"/>
        </w:rPr>
      </w:pPr>
      <w:r w:rsidRPr="00313643">
        <w:rPr>
          <w:rFonts w:ascii="Calibri" w:hAnsi="Calibri"/>
          <w:color w:val="595959" w:themeColor="text1" w:themeTint="A6"/>
        </w:rPr>
        <w:t xml:space="preserve"> – Mayo Moran</w:t>
      </w:r>
    </w:p>
    <w:p w:rsidR="00F4407D" w:rsidRPr="00313643" w:rsidRDefault="00F4407D" w:rsidP="00F4407D">
      <w:pPr>
        <w:spacing w:after="0"/>
        <w:ind w:left="4176" w:right="1296" w:firstLine="144"/>
        <w:rPr>
          <w:rFonts w:ascii="Calibri" w:hAnsi="Calibri"/>
          <w:color w:val="595959" w:themeColor="text1" w:themeTint="A6"/>
        </w:rPr>
      </w:pPr>
    </w:p>
    <w:p w:rsidR="00400385" w:rsidRPr="00313643" w:rsidRDefault="00400385" w:rsidP="00400385">
      <w:pPr>
        <w:spacing w:after="0"/>
        <w:rPr>
          <w:rFonts w:ascii="Calibri" w:hAnsi="Calibri"/>
        </w:rPr>
      </w:pPr>
      <w:r w:rsidRPr="00313643">
        <w:rPr>
          <w:rFonts w:ascii="Calibri" w:hAnsi="Calibri"/>
        </w:rPr>
        <w:t xml:space="preserve">There was push-back from the disability stakeholders, expressing that accessibility has been required under the Human Rights Code since 1982 and therefore should be a cost of doing businesses. </w:t>
      </w:r>
      <w:r w:rsidR="00174325">
        <w:rPr>
          <w:rFonts w:ascii="Calibri" w:hAnsi="Calibri"/>
        </w:rPr>
        <w:t xml:space="preserve">A </w:t>
      </w:r>
      <w:r w:rsidRPr="00313643">
        <w:rPr>
          <w:rFonts w:ascii="Calibri" w:hAnsi="Calibri"/>
        </w:rPr>
        <w:t xml:space="preserve">balanced approach for calculating costs of accessibility </w:t>
      </w:r>
      <w:r w:rsidR="006C14A5">
        <w:rPr>
          <w:rFonts w:ascii="Calibri" w:hAnsi="Calibri"/>
        </w:rPr>
        <w:t>was the common idea</w:t>
      </w:r>
      <w:r w:rsidR="00174325">
        <w:rPr>
          <w:rFonts w:ascii="Calibri" w:hAnsi="Calibri"/>
        </w:rPr>
        <w:t xml:space="preserve"> to promote</w:t>
      </w:r>
      <w:r w:rsidRPr="00313643">
        <w:rPr>
          <w:rFonts w:ascii="Calibri" w:hAnsi="Calibri"/>
        </w:rPr>
        <w:t xml:space="preserve"> funding options for businesses. </w:t>
      </w:r>
    </w:p>
    <w:p w:rsidR="00AE3686" w:rsidRPr="00313643" w:rsidRDefault="00AE3686" w:rsidP="00400385">
      <w:pPr>
        <w:spacing w:after="0"/>
        <w:rPr>
          <w:rFonts w:ascii="Calibri" w:hAnsi="Calibri"/>
          <w:b/>
        </w:rPr>
      </w:pPr>
    </w:p>
    <w:p w:rsidR="00AE3686" w:rsidRPr="00313643" w:rsidRDefault="00A80379" w:rsidP="00400385">
      <w:pPr>
        <w:spacing w:after="0"/>
        <w:rPr>
          <w:rFonts w:ascii="Calibri" w:hAnsi="Calibri"/>
          <w:b/>
        </w:rPr>
      </w:pPr>
      <w:r w:rsidRPr="00313643">
        <w:rPr>
          <w:rFonts w:ascii="Calibri" w:hAnsi="Calibri"/>
          <w:b/>
        </w:rPr>
        <w:t>Accessibility Standards</w:t>
      </w:r>
    </w:p>
    <w:p w:rsidR="00A80379" w:rsidRPr="00313643" w:rsidRDefault="00816147" w:rsidP="00400385">
      <w:pPr>
        <w:spacing w:after="0"/>
        <w:rPr>
          <w:rFonts w:ascii="Calibri" w:hAnsi="Calibri"/>
        </w:rPr>
      </w:pPr>
      <w:r w:rsidRPr="00313643">
        <w:rPr>
          <w:rFonts w:ascii="Calibri" w:hAnsi="Calibri"/>
        </w:rPr>
        <w:t xml:space="preserve">The </w:t>
      </w:r>
      <w:r w:rsidR="00A80379" w:rsidRPr="00313643">
        <w:rPr>
          <w:rFonts w:ascii="Calibri" w:hAnsi="Calibri"/>
        </w:rPr>
        <w:t xml:space="preserve">standards </w:t>
      </w:r>
      <w:r w:rsidRPr="00313643">
        <w:rPr>
          <w:rFonts w:ascii="Calibri" w:hAnsi="Calibri"/>
        </w:rPr>
        <w:t xml:space="preserve">that </w:t>
      </w:r>
      <w:r w:rsidR="006D45EA">
        <w:rPr>
          <w:rFonts w:ascii="Calibri" w:hAnsi="Calibri"/>
        </w:rPr>
        <w:t>may</w:t>
      </w:r>
      <w:r w:rsidR="00EA1E72" w:rsidRPr="00313643">
        <w:rPr>
          <w:rFonts w:ascii="Calibri" w:hAnsi="Calibri"/>
        </w:rPr>
        <w:t xml:space="preserve"> be</w:t>
      </w:r>
      <w:r w:rsidR="00A80379" w:rsidRPr="00313643">
        <w:rPr>
          <w:rFonts w:ascii="Calibri" w:hAnsi="Calibri"/>
        </w:rPr>
        <w:t xml:space="preserve"> created to ensure workplaces are more accessible</w:t>
      </w:r>
      <w:r w:rsidR="00877E13">
        <w:rPr>
          <w:rFonts w:ascii="Calibri" w:hAnsi="Calibri"/>
        </w:rPr>
        <w:t xml:space="preserve"> are</w:t>
      </w:r>
      <w:r w:rsidR="00A80379" w:rsidRPr="00313643">
        <w:rPr>
          <w:rFonts w:ascii="Calibri" w:hAnsi="Calibri"/>
        </w:rPr>
        <w:t>:</w:t>
      </w:r>
    </w:p>
    <w:p w:rsidR="00816147" w:rsidRPr="00313643" w:rsidRDefault="00816147" w:rsidP="00400385">
      <w:pPr>
        <w:spacing w:after="0"/>
        <w:rPr>
          <w:rFonts w:ascii="Calibri" w:hAnsi="Calibri"/>
        </w:rPr>
      </w:pPr>
    </w:p>
    <w:p w:rsidR="00A80379" w:rsidRPr="00313643" w:rsidRDefault="00A80379" w:rsidP="00A80379">
      <w:pPr>
        <w:pStyle w:val="ListParagraph"/>
        <w:numPr>
          <w:ilvl w:val="0"/>
          <w:numId w:val="7"/>
        </w:numPr>
        <w:spacing w:after="0"/>
        <w:rPr>
          <w:rFonts w:ascii="Calibri" w:hAnsi="Calibri"/>
        </w:rPr>
      </w:pPr>
      <w:r w:rsidRPr="00313643">
        <w:rPr>
          <w:rFonts w:ascii="Calibri" w:hAnsi="Calibri"/>
        </w:rPr>
        <w:t>Customer Service</w:t>
      </w:r>
    </w:p>
    <w:p w:rsidR="00A80379" w:rsidRPr="00313643" w:rsidRDefault="00A80379" w:rsidP="00A80379">
      <w:pPr>
        <w:pStyle w:val="ListParagraph"/>
        <w:numPr>
          <w:ilvl w:val="0"/>
          <w:numId w:val="7"/>
        </w:numPr>
        <w:spacing w:after="0"/>
        <w:rPr>
          <w:rFonts w:ascii="Calibri" w:hAnsi="Calibri"/>
        </w:rPr>
      </w:pPr>
      <w:r w:rsidRPr="00313643">
        <w:rPr>
          <w:rFonts w:ascii="Calibri" w:hAnsi="Calibri"/>
        </w:rPr>
        <w:t>Information and Communications</w:t>
      </w:r>
    </w:p>
    <w:p w:rsidR="00A80379" w:rsidRPr="00313643" w:rsidRDefault="00A80379" w:rsidP="00A80379">
      <w:pPr>
        <w:pStyle w:val="ListParagraph"/>
        <w:numPr>
          <w:ilvl w:val="0"/>
          <w:numId w:val="7"/>
        </w:numPr>
        <w:spacing w:after="0"/>
        <w:rPr>
          <w:rFonts w:ascii="Calibri" w:hAnsi="Calibri"/>
        </w:rPr>
      </w:pPr>
      <w:r w:rsidRPr="00313643">
        <w:rPr>
          <w:rFonts w:ascii="Calibri" w:hAnsi="Calibri"/>
        </w:rPr>
        <w:t>Employment</w:t>
      </w:r>
    </w:p>
    <w:p w:rsidR="00A80379" w:rsidRPr="00313643" w:rsidRDefault="00A80379" w:rsidP="00A80379">
      <w:pPr>
        <w:pStyle w:val="ListParagraph"/>
        <w:numPr>
          <w:ilvl w:val="0"/>
          <w:numId w:val="7"/>
        </w:numPr>
        <w:spacing w:after="0"/>
        <w:rPr>
          <w:rFonts w:ascii="Calibri" w:hAnsi="Calibri"/>
        </w:rPr>
      </w:pPr>
      <w:r w:rsidRPr="00313643">
        <w:rPr>
          <w:rFonts w:ascii="Calibri" w:hAnsi="Calibri"/>
        </w:rPr>
        <w:t>Transportation</w:t>
      </w:r>
    </w:p>
    <w:p w:rsidR="00A80379" w:rsidRPr="00313643" w:rsidRDefault="00A80379" w:rsidP="00A80379">
      <w:pPr>
        <w:pStyle w:val="ListParagraph"/>
        <w:numPr>
          <w:ilvl w:val="0"/>
          <w:numId w:val="7"/>
        </w:numPr>
        <w:spacing w:after="0"/>
        <w:rPr>
          <w:rFonts w:ascii="Calibri" w:hAnsi="Calibri"/>
        </w:rPr>
      </w:pPr>
      <w:r w:rsidRPr="00313643">
        <w:rPr>
          <w:rFonts w:ascii="Calibri" w:hAnsi="Calibri"/>
        </w:rPr>
        <w:t xml:space="preserve">Design of Public Spaces </w:t>
      </w:r>
    </w:p>
    <w:p w:rsidR="00EA1E72" w:rsidRPr="00313643" w:rsidRDefault="00EA1E72" w:rsidP="00EA1E72">
      <w:pPr>
        <w:spacing w:after="0"/>
        <w:rPr>
          <w:rFonts w:ascii="Calibri" w:hAnsi="Calibri"/>
        </w:rPr>
      </w:pPr>
    </w:p>
    <w:p w:rsidR="00EA1E72" w:rsidRPr="00313643" w:rsidRDefault="00EA1E72" w:rsidP="00EA1E72">
      <w:pPr>
        <w:spacing w:after="0"/>
        <w:rPr>
          <w:rFonts w:ascii="Calibri" w:hAnsi="Calibri"/>
        </w:rPr>
      </w:pPr>
      <w:r w:rsidRPr="00313643">
        <w:rPr>
          <w:rFonts w:ascii="Calibri" w:hAnsi="Calibri"/>
        </w:rPr>
        <w:t>For a business, this list can mean increasing capital and operating costs, but it also can incur benefits for employers and employees. These benefits include:</w:t>
      </w:r>
    </w:p>
    <w:p w:rsidR="00EA1E72" w:rsidRPr="00313643" w:rsidRDefault="00EA1E72" w:rsidP="00EA1E72">
      <w:pPr>
        <w:spacing w:after="0"/>
        <w:rPr>
          <w:rFonts w:ascii="Calibri" w:hAnsi="Calibri"/>
        </w:rPr>
      </w:pPr>
    </w:p>
    <w:p w:rsidR="00B50B65" w:rsidRPr="00313643" w:rsidRDefault="00B50B65" w:rsidP="00B50B65">
      <w:pPr>
        <w:pStyle w:val="ListParagraph"/>
        <w:numPr>
          <w:ilvl w:val="0"/>
          <w:numId w:val="9"/>
        </w:numPr>
        <w:spacing w:after="0"/>
        <w:rPr>
          <w:rFonts w:ascii="Calibri" w:hAnsi="Calibri"/>
        </w:rPr>
      </w:pPr>
      <w:r w:rsidRPr="00313643">
        <w:rPr>
          <w:rFonts w:ascii="Calibri" w:hAnsi="Calibri"/>
        </w:rPr>
        <w:lastRenderedPageBreak/>
        <w:t xml:space="preserve">Better job retention </w:t>
      </w:r>
    </w:p>
    <w:p w:rsidR="00B50B65" w:rsidRPr="00313643" w:rsidRDefault="00B50B65" w:rsidP="00B50B65">
      <w:pPr>
        <w:pStyle w:val="ListParagraph"/>
        <w:numPr>
          <w:ilvl w:val="0"/>
          <w:numId w:val="9"/>
        </w:numPr>
        <w:spacing w:after="0"/>
        <w:rPr>
          <w:rFonts w:ascii="Calibri" w:hAnsi="Calibri"/>
        </w:rPr>
      </w:pPr>
      <w:r w:rsidRPr="00313643">
        <w:rPr>
          <w:rFonts w:ascii="Calibri" w:hAnsi="Calibri"/>
        </w:rPr>
        <w:t xml:space="preserve">Higher attendance </w:t>
      </w:r>
    </w:p>
    <w:p w:rsidR="00B50B65" w:rsidRPr="00313643" w:rsidRDefault="00B50B65" w:rsidP="00B50B65">
      <w:pPr>
        <w:pStyle w:val="ListParagraph"/>
        <w:numPr>
          <w:ilvl w:val="0"/>
          <w:numId w:val="9"/>
        </w:numPr>
        <w:spacing w:after="0"/>
        <w:rPr>
          <w:rFonts w:ascii="Calibri" w:hAnsi="Calibri"/>
        </w:rPr>
      </w:pPr>
      <w:r w:rsidRPr="00313643">
        <w:rPr>
          <w:rFonts w:ascii="Calibri" w:hAnsi="Calibri"/>
        </w:rPr>
        <w:t xml:space="preserve">Lower turnover </w:t>
      </w:r>
    </w:p>
    <w:p w:rsidR="00B50B65" w:rsidRPr="00313643" w:rsidRDefault="00816147" w:rsidP="00B50B65">
      <w:pPr>
        <w:pStyle w:val="ListParagraph"/>
        <w:numPr>
          <w:ilvl w:val="0"/>
          <w:numId w:val="9"/>
        </w:numPr>
        <w:spacing w:after="0"/>
        <w:rPr>
          <w:rFonts w:ascii="Calibri" w:hAnsi="Calibri"/>
        </w:rPr>
      </w:pPr>
      <w:r w:rsidRPr="00313643">
        <w:rPr>
          <w:rFonts w:ascii="Calibri" w:hAnsi="Calibri"/>
        </w:rPr>
        <w:t xml:space="preserve">Enhanced job performance and work quality </w:t>
      </w:r>
    </w:p>
    <w:p w:rsidR="00B50B65" w:rsidRPr="00313643" w:rsidRDefault="00816147" w:rsidP="00400385">
      <w:pPr>
        <w:pStyle w:val="ListParagraph"/>
        <w:numPr>
          <w:ilvl w:val="0"/>
          <w:numId w:val="9"/>
        </w:numPr>
        <w:spacing w:after="0"/>
        <w:rPr>
          <w:rFonts w:ascii="Calibri" w:hAnsi="Calibri"/>
        </w:rPr>
      </w:pPr>
      <w:r w:rsidRPr="00313643">
        <w:rPr>
          <w:rFonts w:ascii="Calibri" w:hAnsi="Calibri"/>
        </w:rPr>
        <w:t>Better safety records</w:t>
      </w:r>
    </w:p>
    <w:p w:rsidR="00313643" w:rsidRDefault="00313643" w:rsidP="00B50B65">
      <w:pPr>
        <w:spacing w:after="0"/>
        <w:rPr>
          <w:rFonts w:ascii="Calibri" w:hAnsi="Calibri"/>
          <w:b/>
        </w:rPr>
      </w:pPr>
    </w:p>
    <w:p w:rsidR="00313643" w:rsidRDefault="000931A7" w:rsidP="00B50B65">
      <w:pPr>
        <w:spacing w:after="0"/>
        <w:rPr>
          <w:rFonts w:ascii="Calibri" w:hAnsi="Calibri"/>
          <w:b/>
        </w:rPr>
      </w:pPr>
      <w:r w:rsidRPr="00313643">
        <w:rPr>
          <w:rFonts w:ascii="Calibri" w:hAnsi="Calibri"/>
          <w:b/>
        </w:rPr>
        <w:t>Funding</w:t>
      </w:r>
      <w:r w:rsidR="005C17D5" w:rsidRPr="00313643">
        <w:rPr>
          <w:rFonts w:ascii="Calibri" w:hAnsi="Calibri"/>
          <w:b/>
        </w:rPr>
        <w:t xml:space="preserve"> </w:t>
      </w:r>
    </w:p>
    <w:p w:rsidR="00313643" w:rsidRDefault="00313643" w:rsidP="00B50B65">
      <w:pPr>
        <w:spacing w:after="0"/>
        <w:rPr>
          <w:rFonts w:ascii="Calibri" w:hAnsi="Calibri"/>
        </w:rPr>
      </w:pPr>
      <w:r>
        <w:rPr>
          <w:rFonts w:ascii="Calibri" w:hAnsi="Calibri"/>
        </w:rPr>
        <w:t xml:space="preserve">Given the financial cost of creating an accessible workplace the Canadian Government has created funding assistance programs to ensure businesses are able to comply with the standards set out for them in each Province’s </w:t>
      </w:r>
      <w:r w:rsidR="00877E13">
        <w:rPr>
          <w:rFonts w:ascii="Calibri" w:hAnsi="Calibri"/>
        </w:rPr>
        <w:t>Accessibility</w:t>
      </w:r>
      <w:r>
        <w:rPr>
          <w:rFonts w:ascii="Calibri" w:hAnsi="Calibri"/>
        </w:rPr>
        <w:t xml:space="preserve"> Act. </w:t>
      </w:r>
    </w:p>
    <w:p w:rsidR="00313643" w:rsidRDefault="00313643" w:rsidP="00B50B65">
      <w:pPr>
        <w:spacing w:after="0"/>
        <w:rPr>
          <w:rFonts w:ascii="Calibri" w:hAnsi="Calibri"/>
        </w:rPr>
      </w:pPr>
    </w:p>
    <w:p w:rsidR="000931A7" w:rsidRPr="00313643" w:rsidRDefault="000931A7" w:rsidP="00400385">
      <w:pPr>
        <w:spacing w:after="0"/>
        <w:rPr>
          <w:rFonts w:ascii="Calibri" w:hAnsi="Calibri"/>
        </w:rPr>
      </w:pPr>
      <w:r w:rsidRPr="00313643">
        <w:rPr>
          <w:rFonts w:ascii="Calibri" w:hAnsi="Calibri"/>
        </w:rPr>
        <w:t xml:space="preserve">The Enabling Accessibility Fund is a Federal Grants and Contributions program which supports capital costs of construction and renovations related to improving physical accessibility and safety for people with disabilities in Canadian communities and workplaces.  </w:t>
      </w:r>
    </w:p>
    <w:p w:rsidR="00DD06D5" w:rsidRPr="00313643" w:rsidRDefault="00DD06D5" w:rsidP="00DD06D5">
      <w:pPr>
        <w:spacing w:after="0"/>
        <w:ind w:left="1296" w:right="1296"/>
        <w:rPr>
          <w:rFonts w:ascii="Calibri" w:hAnsi="Calibri"/>
          <w:color w:val="333333"/>
          <w:shd w:val="clear" w:color="auto" w:fill="F9F9F9"/>
        </w:rPr>
      </w:pPr>
    </w:p>
    <w:p w:rsidR="00601249" w:rsidRPr="00313643" w:rsidRDefault="00DD06D5" w:rsidP="00DD06D5">
      <w:pPr>
        <w:spacing w:after="0"/>
        <w:ind w:left="1296" w:right="1296"/>
        <w:rPr>
          <w:rFonts w:ascii="Calibri" w:hAnsi="Calibri"/>
          <w:color w:val="7F7F7F" w:themeColor="text1" w:themeTint="80"/>
          <w:shd w:val="clear" w:color="auto" w:fill="F9F9F9"/>
        </w:rPr>
      </w:pPr>
      <w:r w:rsidRPr="00313643">
        <w:rPr>
          <w:rFonts w:ascii="Calibri" w:hAnsi="Calibri"/>
          <w:color w:val="7F7F7F" w:themeColor="text1" w:themeTint="80"/>
          <w:shd w:val="clear" w:color="auto" w:fill="F9F9F9"/>
        </w:rPr>
        <w:t>From installing screen reader devices, hearing induction loop systems, automated door openers, constructing a universally designed office or retrofitting a washroom with an accessible toilet, grab bars and taps, the Enabling Accessibility Fund works to enable Canadians with disabilities to participate in their community and the economy.</w:t>
      </w:r>
    </w:p>
    <w:p w:rsidR="00601249" w:rsidRPr="00313643" w:rsidRDefault="00DD06D5" w:rsidP="00DD06D5">
      <w:pPr>
        <w:pStyle w:val="ListParagraph"/>
        <w:numPr>
          <w:ilvl w:val="0"/>
          <w:numId w:val="5"/>
        </w:numPr>
        <w:spacing w:after="0"/>
        <w:rPr>
          <w:rFonts w:ascii="Calibri" w:hAnsi="Calibri"/>
          <w:color w:val="7F7F7F" w:themeColor="text1" w:themeTint="80"/>
        </w:rPr>
      </w:pPr>
      <w:r w:rsidRPr="00313643">
        <w:rPr>
          <w:rFonts w:ascii="Calibri" w:hAnsi="Calibri"/>
          <w:color w:val="7F7F7F" w:themeColor="text1" w:themeTint="80"/>
        </w:rPr>
        <w:t>Employment and Social Development Canada</w:t>
      </w:r>
    </w:p>
    <w:p w:rsidR="009A76E4" w:rsidRPr="00313643" w:rsidRDefault="009A76E4" w:rsidP="00400385">
      <w:pPr>
        <w:spacing w:after="0"/>
        <w:rPr>
          <w:rFonts w:ascii="Calibri" w:hAnsi="Calibri"/>
        </w:rPr>
      </w:pPr>
    </w:p>
    <w:p w:rsidR="009A76E4" w:rsidRPr="00313643" w:rsidRDefault="00DD06D5" w:rsidP="009A76E4">
      <w:pPr>
        <w:spacing w:after="0"/>
        <w:rPr>
          <w:rFonts w:ascii="Calibri" w:hAnsi="Calibri"/>
        </w:rPr>
      </w:pPr>
      <w:r w:rsidRPr="00313643">
        <w:rPr>
          <w:rFonts w:ascii="Calibri" w:hAnsi="Calibri"/>
        </w:rPr>
        <w:t xml:space="preserve">The Community Accessibility Stream provides funding for projects that improve accessibility in communities across Canada. </w:t>
      </w:r>
      <w:r w:rsidR="009A76E4" w:rsidRPr="00313643">
        <w:rPr>
          <w:rFonts w:ascii="Calibri" w:hAnsi="Calibri"/>
        </w:rPr>
        <w:t xml:space="preserve">The funding may be used for: </w:t>
      </w:r>
      <w:r w:rsidR="009A76E4" w:rsidRPr="00313643">
        <w:rPr>
          <w:rFonts w:ascii="Calibri" w:hAnsi="Calibri"/>
          <w:lang w:eastAsia="en-CA"/>
        </w:rPr>
        <w:t xml:space="preserve">renovating, retrofitting or constructing community facilities where programs and/or services are or will be offered to people with disabilities; retrofitting motor vehicles used as community-based transportation; and, providing information and communications technologies for community use. </w:t>
      </w:r>
    </w:p>
    <w:p w:rsidR="000931A7" w:rsidRPr="00313643" w:rsidRDefault="000931A7" w:rsidP="00400385">
      <w:pPr>
        <w:spacing w:after="0"/>
        <w:rPr>
          <w:rFonts w:ascii="Calibri" w:hAnsi="Calibri"/>
          <w:b/>
        </w:rPr>
      </w:pPr>
    </w:p>
    <w:p w:rsidR="000931A7" w:rsidRDefault="00313643" w:rsidP="00400385">
      <w:pPr>
        <w:spacing w:after="0"/>
        <w:rPr>
          <w:rFonts w:ascii="Calibri" w:hAnsi="Calibri"/>
        </w:rPr>
      </w:pPr>
      <w:r>
        <w:rPr>
          <w:rFonts w:ascii="Calibri" w:hAnsi="Calibri"/>
        </w:rPr>
        <w:t xml:space="preserve">The </w:t>
      </w:r>
      <w:r w:rsidRPr="00313643">
        <w:rPr>
          <w:rFonts w:ascii="Calibri" w:hAnsi="Calibri"/>
        </w:rPr>
        <w:t>Access-Ability Program</w:t>
      </w:r>
      <w:r w:rsidR="00E16F55">
        <w:rPr>
          <w:rFonts w:ascii="Calibri" w:hAnsi="Calibri"/>
        </w:rPr>
        <w:t xml:space="preserve"> provides a wage subsidy of $10/hour to employ a young person aged 15-30 with a disability to wo</w:t>
      </w:r>
      <w:r w:rsidR="00877E13">
        <w:rPr>
          <w:rFonts w:ascii="Calibri" w:hAnsi="Calibri"/>
        </w:rPr>
        <w:t xml:space="preserve">rk for a business for 39 weeks for business in Nova Scotia. </w:t>
      </w:r>
    </w:p>
    <w:p w:rsidR="00E16F55" w:rsidRDefault="00E16F55" w:rsidP="00400385">
      <w:pPr>
        <w:spacing w:after="0"/>
        <w:rPr>
          <w:rFonts w:ascii="Calibri" w:hAnsi="Calibri"/>
        </w:rPr>
      </w:pPr>
    </w:p>
    <w:p w:rsidR="00E16F55" w:rsidRDefault="00E16F55" w:rsidP="00400385">
      <w:pPr>
        <w:spacing w:after="0"/>
        <w:rPr>
          <w:rFonts w:ascii="Calibri" w:hAnsi="Calibri"/>
          <w:b/>
        </w:rPr>
      </w:pPr>
      <w:r w:rsidRPr="00E16F55">
        <w:rPr>
          <w:rFonts w:ascii="Calibri" w:hAnsi="Calibri"/>
          <w:b/>
        </w:rPr>
        <w:t>Benefit</w:t>
      </w:r>
      <w:r w:rsidR="00E036A0">
        <w:rPr>
          <w:rFonts w:ascii="Calibri" w:hAnsi="Calibri"/>
          <w:b/>
        </w:rPr>
        <w:t xml:space="preserve"> </w:t>
      </w:r>
      <w:r w:rsidR="0038513E">
        <w:rPr>
          <w:rFonts w:ascii="Calibri" w:hAnsi="Calibri"/>
          <w:b/>
        </w:rPr>
        <w:t>&gt; Cost</w:t>
      </w:r>
    </w:p>
    <w:p w:rsidR="00E16F55" w:rsidRDefault="00E16F55" w:rsidP="00400385">
      <w:pPr>
        <w:spacing w:after="0"/>
        <w:rPr>
          <w:rFonts w:ascii="Calibri" w:hAnsi="Calibri"/>
        </w:rPr>
      </w:pPr>
      <w:r>
        <w:rPr>
          <w:rFonts w:ascii="Calibri" w:hAnsi="Calibri"/>
        </w:rPr>
        <w:t xml:space="preserve">There are numerous financial costs associated with ensuring an organization is accessible for all, but given the return on investment </w:t>
      </w:r>
      <w:r w:rsidR="00877E13">
        <w:rPr>
          <w:rFonts w:ascii="Calibri" w:hAnsi="Calibri"/>
        </w:rPr>
        <w:t>there are more</w:t>
      </w:r>
      <w:r>
        <w:rPr>
          <w:rFonts w:ascii="Calibri" w:hAnsi="Calibri"/>
        </w:rPr>
        <w:t xml:space="preserve"> benefit</w:t>
      </w:r>
      <w:r w:rsidR="00877E13">
        <w:rPr>
          <w:rFonts w:ascii="Calibri" w:hAnsi="Calibri"/>
        </w:rPr>
        <w:t xml:space="preserve">s than costs associated with </w:t>
      </w:r>
      <w:r>
        <w:rPr>
          <w:rFonts w:ascii="Calibri" w:hAnsi="Calibri"/>
        </w:rPr>
        <w:t xml:space="preserve">doing the right thing. </w:t>
      </w:r>
    </w:p>
    <w:p w:rsidR="00877E13" w:rsidRDefault="00877E13" w:rsidP="00400385">
      <w:pPr>
        <w:spacing w:after="0"/>
        <w:rPr>
          <w:rFonts w:ascii="Calibri" w:hAnsi="Calibri"/>
        </w:rPr>
      </w:pPr>
    </w:p>
    <w:p w:rsidR="00877E13" w:rsidRPr="00877E13" w:rsidRDefault="00877E13" w:rsidP="00400385">
      <w:pPr>
        <w:spacing w:after="0"/>
        <w:rPr>
          <w:rFonts w:ascii="Calibri" w:hAnsi="Calibri"/>
          <w:b/>
        </w:rPr>
      </w:pPr>
      <w:r w:rsidRPr="00877E13">
        <w:rPr>
          <w:rFonts w:ascii="Calibri" w:hAnsi="Calibri"/>
          <w:b/>
        </w:rPr>
        <w:t>More to Follow</w:t>
      </w:r>
      <w:proofErr w:type="gramStart"/>
      <w:r w:rsidRPr="00877E13">
        <w:rPr>
          <w:rFonts w:ascii="Calibri" w:hAnsi="Calibri"/>
          <w:b/>
        </w:rPr>
        <w:t>…..</w:t>
      </w:r>
      <w:proofErr w:type="gramEnd"/>
    </w:p>
    <w:p w:rsidR="00FA7D3A" w:rsidRDefault="00FA7D3A" w:rsidP="00400385">
      <w:pPr>
        <w:spacing w:after="0"/>
        <w:rPr>
          <w:rFonts w:ascii="Calibri" w:hAnsi="Calibri"/>
        </w:rPr>
      </w:pPr>
    </w:p>
    <w:p w:rsidR="009F018F" w:rsidRDefault="009F018F" w:rsidP="00825DEF">
      <w:pPr>
        <w:spacing w:after="0"/>
        <w:rPr>
          <w:rFonts w:ascii="Calibri" w:hAnsi="Calibri"/>
          <w:b/>
        </w:rPr>
      </w:pPr>
    </w:p>
    <w:p w:rsidR="009F018F" w:rsidRDefault="009F018F" w:rsidP="00825DEF">
      <w:pPr>
        <w:spacing w:after="0"/>
        <w:rPr>
          <w:rFonts w:ascii="Calibri" w:hAnsi="Calibri"/>
          <w:b/>
        </w:rPr>
      </w:pPr>
    </w:p>
    <w:p w:rsidR="009F018F" w:rsidRDefault="009F018F" w:rsidP="00825DEF">
      <w:pPr>
        <w:spacing w:after="0"/>
        <w:rPr>
          <w:rFonts w:ascii="Calibri" w:hAnsi="Calibri"/>
          <w:b/>
        </w:rPr>
      </w:pPr>
    </w:p>
    <w:p w:rsidR="009F018F" w:rsidRDefault="009F018F" w:rsidP="00825DEF">
      <w:pPr>
        <w:spacing w:after="0"/>
        <w:rPr>
          <w:rFonts w:ascii="Calibri" w:hAnsi="Calibri"/>
          <w:b/>
        </w:rPr>
      </w:pPr>
    </w:p>
    <w:p w:rsidR="009F018F" w:rsidRDefault="009F018F" w:rsidP="00825DEF">
      <w:pPr>
        <w:spacing w:after="0"/>
        <w:rPr>
          <w:rFonts w:ascii="Calibri" w:hAnsi="Calibri"/>
          <w:b/>
        </w:rPr>
      </w:pPr>
    </w:p>
    <w:p w:rsidR="009F018F" w:rsidRDefault="009F018F" w:rsidP="00825DEF">
      <w:pPr>
        <w:spacing w:after="0"/>
        <w:rPr>
          <w:rFonts w:ascii="Calibri" w:hAnsi="Calibri"/>
          <w:b/>
        </w:rPr>
      </w:pPr>
    </w:p>
    <w:p w:rsidR="009F018F" w:rsidRDefault="009F018F" w:rsidP="00825DEF">
      <w:pPr>
        <w:spacing w:after="0"/>
        <w:rPr>
          <w:rFonts w:ascii="Calibri" w:hAnsi="Calibri"/>
          <w:b/>
        </w:rPr>
      </w:pPr>
    </w:p>
    <w:p w:rsidR="00825DEF" w:rsidRPr="00FA7D3A" w:rsidRDefault="00FA7D3A" w:rsidP="00825DEF">
      <w:pPr>
        <w:spacing w:after="0"/>
        <w:rPr>
          <w:rFonts w:ascii="Calibri" w:hAnsi="Calibri"/>
          <w:b/>
        </w:rPr>
      </w:pPr>
      <w:bookmarkStart w:id="0" w:name="_GoBack"/>
      <w:bookmarkEnd w:id="0"/>
      <w:r w:rsidRPr="00FA7D3A">
        <w:rPr>
          <w:rFonts w:ascii="Calibri" w:hAnsi="Calibri"/>
          <w:b/>
        </w:rPr>
        <w:lastRenderedPageBreak/>
        <w:t>References:</w:t>
      </w:r>
    </w:p>
    <w:p w:rsidR="000931A7" w:rsidRPr="00B541C6" w:rsidRDefault="00FA7D3A" w:rsidP="00825DEF">
      <w:pPr>
        <w:spacing w:after="0"/>
        <w:rPr>
          <w:rFonts w:ascii="Calibri" w:hAnsi="Calibri"/>
          <w:sz w:val="20"/>
          <w:szCs w:val="20"/>
        </w:rPr>
      </w:pPr>
      <w:r w:rsidRPr="00B541C6">
        <w:rPr>
          <w:rFonts w:ascii="Calibri" w:hAnsi="Calibri"/>
          <w:sz w:val="20"/>
          <w:szCs w:val="20"/>
        </w:rPr>
        <w:t>Business Benefits of Accessible Workplaces</w:t>
      </w:r>
    </w:p>
    <w:p w:rsidR="00FA7D3A" w:rsidRPr="00B541C6" w:rsidRDefault="00FA7D3A" w:rsidP="00825DEF">
      <w:pPr>
        <w:spacing w:after="0"/>
        <w:rPr>
          <w:rFonts w:ascii="Calibri" w:hAnsi="Calibri"/>
          <w:sz w:val="20"/>
          <w:szCs w:val="20"/>
        </w:rPr>
      </w:pPr>
      <w:r w:rsidRPr="00B541C6">
        <w:rPr>
          <w:rFonts w:ascii="Calibri" w:hAnsi="Calibri"/>
          <w:sz w:val="20"/>
          <w:szCs w:val="20"/>
        </w:rPr>
        <w:t>The Conference Board of Canada</w:t>
      </w:r>
    </w:p>
    <w:p w:rsidR="00FA7D3A" w:rsidRPr="00B541C6" w:rsidRDefault="009F018F" w:rsidP="00825DEF">
      <w:pPr>
        <w:spacing w:after="0"/>
        <w:rPr>
          <w:rFonts w:ascii="Calibri" w:hAnsi="Calibri"/>
          <w:sz w:val="20"/>
          <w:szCs w:val="20"/>
        </w:rPr>
      </w:pPr>
      <w:hyperlink r:id="rId8" w:history="1">
        <w:r w:rsidR="00FA7D3A" w:rsidRPr="00B541C6">
          <w:rPr>
            <w:rStyle w:val="Hyperlink"/>
            <w:rFonts w:ascii="Calibri" w:hAnsi="Calibri"/>
            <w:color w:val="auto"/>
            <w:sz w:val="20"/>
            <w:szCs w:val="20"/>
          </w:rPr>
          <w:t>http://www.conferenceboard.ca/documents/6264_accessibleworkplaces_br_av.pdf</w:t>
        </w:r>
      </w:hyperlink>
    </w:p>
    <w:p w:rsidR="00FA7D3A" w:rsidRPr="00B541C6" w:rsidRDefault="00FA7D3A" w:rsidP="00825DEF">
      <w:pPr>
        <w:spacing w:after="0"/>
        <w:rPr>
          <w:rFonts w:ascii="Calibri" w:hAnsi="Calibri"/>
          <w:sz w:val="20"/>
          <w:szCs w:val="20"/>
        </w:rPr>
      </w:pPr>
    </w:p>
    <w:p w:rsidR="00B541C6" w:rsidRPr="00B541C6" w:rsidRDefault="00B541C6" w:rsidP="00825DEF">
      <w:pPr>
        <w:pStyle w:val="NoSpacing"/>
        <w:rPr>
          <w:sz w:val="20"/>
          <w:szCs w:val="20"/>
          <w:lang w:eastAsia="en-CA"/>
        </w:rPr>
      </w:pPr>
      <w:r w:rsidRPr="00B541C6">
        <w:rPr>
          <w:sz w:val="20"/>
          <w:szCs w:val="20"/>
          <w:lang w:eastAsia="en-CA"/>
        </w:rPr>
        <w:t>Legislative Review of the Accessibility for Ontarians with Disabilities Act</w:t>
      </w:r>
    </w:p>
    <w:p w:rsidR="00B541C6" w:rsidRPr="00B541C6" w:rsidRDefault="00B541C6" w:rsidP="00825DEF">
      <w:pPr>
        <w:pStyle w:val="NoSpacing"/>
        <w:rPr>
          <w:sz w:val="20"/>
          <w:szCs w:val="20"/>
          <w:lang w:eastAsia="en-CA"/>
        </w:rPr>
      </w:pPr>
      <w:r w:rsidRPr="00B541C6">
        <w:rPr>
          <w:sz w:val="20"/>
          <w:szCs w:val="20"/>
          <w:lang w:eastAsia="en-CA"/>
        </w:rPr>
        <w:t>Mayo Moran</w:t>
      </w:r>
    </w:p>
    <w:p w:rsidR="00B541C6" w:rsidRPr="00B541C6" w:rsidRDefault="009F018F" w:rsidP="00825DEF">
      <w:pPr>
        <w:pStyle w:val="NoSpacing"/>
        <w:rPr>
          <w:sz w:val="20"/>
          <w:szCs w:val="20"/>
          <w:lang w:eastAsia="en-CA"/>
        </w:rPr>
      </w:pPr>
      <w:hyperlink r:id="rId9" w:history="1">
        <w:r w:rsidR="00B541C6" w:rsidRPr="00B541C6">
          <w:rPr>
            <w:rStyle w:val="Hyperlink"/>
            <w:rFonts w:ascii="Calibri" w:eastAsia="Times New Roman" w:hAnsi="Calibri" w:cs="Helvetica"/>
            <w:color w:val="auto"/>
            <w:kern w:val="36"/>
            <w:sz w:val="20"/>
            <w:szCs w:val="20"/>
            <w:lang w:eastAsia="en-CA"/>
          </w:rPr>
          <w:t>https://www.ontario.ca/document/legislative-review-accessibility-ontarians-disabilities-act</w:t>
        </w:r>
      </w:hyperlink>
    </w:p>
    <w:p w:rsidR="00B541C6" w:rsidRPr="00B541C6" w:rsidRDefault="00B541C6" w:rsidP="00825DEF">
      <w:pPr>
        <w:pStyle w:val="NoSpacing"/>
        <w:rPr>
          <w:sz w:val="20"/>
          <w:szCs w:val="20"/>
          <w:lang w:eastAsia="en-CA"/>
        </w:rPr>
      </w:pPr>
    </w:p>
    <w:p w:rsidR="00B541C6" w:rsidRPr="00B541C6" w:rsidRDefault="00B541C6" w:rsidP="00825DEF">
      <w:pPr>
        <w:pStyle w:val="NoSpacing"/>
        <w:rPr>
          <w:sz w:val="20"/>
          <w:szCs w:val="20"/>
        </w:rPr>
      </w:pPr>
      <w:r w:rsidRPr="00B541C6">
        <w:rPr>
          <w:sz w:val="20"/>
          <w:szCs w:val="20"/>
        </w:rPr>
        <w:t>Integrated Accessibility Standards Regulation: A Training Booklet for Small Private and Not-for-Profit Organizations</w:t>
      </w:r>
    </w:p>
    <w:p w:rsidR="00B541C6" w:rsidRPr="00B541C6" w:rsidRDefault="00825DEF" w:rsidP="00825DEF">
      <w:pPr>
        <w:pStyle w:val="NoSpacing"/>
        <w:rPr>
          <w:sz w:val="20"/>
          <w:szCs w:val="20"/>
        </w:rPr>
      </w:pPr>
      <w:r w:rsidRPr="00B541C6">
        <w:rPr>
          <w:sz w:val="20"/>
          <w:szCs w:val="20"/>
        </w:rPr>
        <w:t>Access Forward</w:t>
      </w:r>
    </w:p>
    <w:p w:rsidR="00B541C6" w:rsidRPr="00B541C6" w:rsidRDefault="009F018F" w:rsidP="00825DEF">
      <w:pPr>
        <w:pStyle w:val="NoSpacing"/>
        <w:rPr>
          <w:sz w:val="20"/>
          <w:szCs w:val="20"/>
          <w:lang w:eastAsia="en-CA"/>
        </w:rPr>
      </w:pPr>
      <w:hyperlink r:id="rId10" w:history="1">
        <w:r w:rsidR="00B541C6" w:rsidRPr="00B541C6">
          <w:rPr>
            <w:rStyle w:val="Hyperlink"/>
            <w:color w:val="auto"/>
            <w:sz w:val="20"/>
            <w:szCs w:val="20"/>
            <w:lang w:eastAsia="en-CA"/>
          </w:rPr>
          <w:t>http://www.accessforward.ca/resources/Training%20Booklet%20for%20Small%20Private%20and%20Not%20For%20Profit%20Organizations.pdf</w:t>
        </w:r>
      </w:hyperlink>
    </w:p>
    <w:p w:rsidR="00B541C6" w:rsidRPr="00B541C6" w:rsidRDefault="00B541C6" w:rsidP="00825DEF">
      <w:pPr>
        <w:pStyle w:val="NoSpacing"/>
        <w:rPr>
          <w:sz w:val="20"/>
          <w:szCs w:val="20"/>
          <w:lang w:eastAsia="en-CA"/>
        </w:rPr>
      </w:pPr>
    </w:p>
    <w:p w:rsidR="00B541C6" w:rsidRPr="00B541C6" w:rsidRDefault="00B541C6" w:rsidP="00825DEF">
      <w:pPr>
        <w:pStyle w:val="NoSpacing"/>
        <w:rPr>
          <w:sz w:val="20"/>
          <w:szCs w:val="20"/>
        </w:rPr>
      </w:pPr>
      <w:r w:rsidRPr="00B541C6">
        <w:rPr>
          <w:sz w:val="20"/>
          <w:szCs w:val="20"/>
        </w:rPr>
        <w:t>Funding: Enabling Accessibility Fund</w:t>
      </w:r>
    </w:p>
    <w:p w:rsidR="00B541C6" w:rsidRPr="00B541C6" w:rsidRDefault="00B541C6" w:rsidP="00825DEF">
      <w:pPr>
        <w:pStyle w:val="NoSpacing"/>
        <w:rPr>
          <w:sz w:val="20"/>
          <w:szCs w:val="20"/>
        </w:rPr>
      </w:pPr>
      <w:r w:rsidRPr="00B541C6">
        <w:rPr>
          <w:sz w:val="20"/>
          <w:szCs w:val="20"/>
        </w:rPr>
        <w:t>Employment and Social Development Canada</w:t>
      </w:r>
    </w:p>
    <w:p w:rsidR="00B541C6" w:rsidRPr="00B541C6" w:rsidRDefault="009F018F" w:rsidP="00825DEF">
      <w:pPr>
        <w:pStyle w:val="NoSpacing"/>
        <w:rPr>
          <w:sz w:val="20"/>
          <w:szCs w:val="20"/>
        </w:rPr>
      </w:pPr>
      <w:hyperlink r:id="rId11" w:history="1">
        <w:r w:rsidR="00B541C6" w:rsidRPr="00B541C6">
          <w:rPr>
            <w:rStyle w:val="Hyperlink"/>
            <w:color w:val="auto"/>
            <w:sz w:val="20"/>
            <w:szCs w:val="20"/>
          </w:rPr>
          <w:t>https://www.canada.ca/en/employment-social-development/programs/disability/eaf.html</w:t>
        </w:r>
      </w:hyperlink>
    </w:p>
    <w:p w:rsidR="00291871" w:rsidRPr="00B541C6" w:rsidRDefault="00291871" w:rsidP="00825DEF">
      <w:pPr>
        <w:spacing w:after="0"/>
        <w:rPr>
          <w:rFonts w:ascii="Calibri" w:hAnsi="Calibri" w:cs="Arial"/>
          <w:color w:val="000000"/>
          <w:shd w:val="clear" w:color="auto" w:fill="FFFFFF"/>
        </w:rPr>
      </w:pPr>
    </w:p>
    <w:sectPr w:rsidR="00291871" w:rsidRPr="00B541C6" w:rsidSect="00400385">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8F" w:rsidRDefault="009F018F" w:rsidP="009F018F">
      <w:pPr>
        <w:spacing w:after="0" w:line="240" w:lineRule="auto"/>
      </w:pPr>
      <w:r>
        <w:separator/>
      </w:r>
    </w:p>
  </w:endnote>
  <w:endnote w:type="continuationSeparator" w:id="0">
    <w:p w:rsidR="009F018F" w:rsidRDefault="009F018F" w:rsidP="009F0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8F" w:rsidRDefault="009F018F" w:rsidP="009F018F">
      <w:pPr>
        <w:spacing w:after="0" w:line="240" w:lineRule="auto"/>
      </w:pPr>
      <w:r>
        <w:separator/>
      </w:r>
    </w:p>
  </w:footnote>
  <w:footnote w:type="continuationSeparator" w:id="0">
    <w:p w:rsidR="009F018F" w:rsidRDefault="009F018F" w:rsidP="009F0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8F" w:rsidRDefault="009F018F">
    <w:pPr>
      <w:pStyle w:val="Header"/>
    </w:pPr>
    <w:r w:rsidRPr="00294374">
      <w:rPr>
        <w:noProof/>
        <w:lang w:eastAsia="en-CA"/>
      </w:rPr>
      <w:drawing>
        <wp:inline distT="0" distB="0" distL="0" distR="0" wp14:anchorId="474DCFCD" wp14:editId="0F29D2A7">
          <wp:extent cx="1057275" cy="557009"/>
          <wp:effectExtent l="19050" t="0" r="0" b="0"/>
          <wp:docPr id="2" name="Picture 3" descr="Chamber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_logo.eps"/>
                  <pic:cNvPicPr/>
                </pic:nvPicPr>
                <pic:blipFill>
                  <a:blip r:embed="rId1"/>
                  <a:stretch>
                    <a:fillRect/>
                  </a:stretch>
                </pic:blipFill>
                <pic:spPr>
                  <a:xfrm>
                    <a:off x="0" y="0"/>
                    <a:ext cx="1063403" cy="560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6BE"/>
    <w:multiLevelType w:val="hybridMultilevel"/>
    <w:tmpl w:val="2F089E6A"/>
    <w:lvl w:ilvl="0" w:tplc="4094DC48">
      <w:numFmt w:val="bullet"/>
      <w:lvlText w:val="-"/>
      <w:lvlJc w:val="left"/>
      <w:pPr>
        <w:ind w:left="3960" w:hanging="360"/>
      </w:pPr>
      <w:rPr>
        <w:rFonts w:ascii="Calibri" w:eastAsiaTheme="minorHAnsi" w:hAnsi="Calibri" w:cstheme="minorBidi"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 w15:restartNumberingAfterBreak="0">
    <w:nsid w:val="10C45359"/>
    <w:multiLevelType w:val="hybridMultilevel"/>
    <w:tmpl w:val="A134B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362593"/>
    <w:multiLevelType w:val="hybridMultilevel"/>
    <w:tmpl w:val="652CA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514F43"/>
    <w:multiLevelType w:val="hybridMultilevel"/>
    <w:tmpl w:val="E8103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B74606"/>
    <w:multiLevelType w:val="hybridMultilevel"/>
    <w:tmpl w:val="1108A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9C5438"/>
    <w:multiLevelType w:val="hybridMultilevel"/>
    <w:tmpl w:val="22CC6D40"/>
    <w:lvl w:ilvl="0" w:tplc="A3E0507C">
      <w:numFmt w:val="bullet"/>
      <w:lvlText w:val="-"/>
      <w:lvlJc w:val="left"/>
      <w:pPr>
        <w:ind w:left="4686" w:hanging="360"/>
      </w:pPr>
      <w:rPr>
        <w:rFonts w:ascii="Helvetica" w:eastAsiaTheme="minorHAnsi" w:hAnsi="Helvetica" w:cstheme="minorBidi" w:hint="default"/>
        <w:b w:val="0"/>
        <w:color w:val="333333"/>
      </w:rPr>
    </w:lvl>
    <w:lvl w:ilvl="1" w:tplc="10090003" w:tentative="1">
      <w:start w:val="1"/>
      <w:numFmt w:val="bullet"/>
      <w:lvlText w:val="o"/>
      <w:lvlJc w:val="left"/>
      <w:pPr>
        <w:ind w:left="5406" w:hanging="360"/>
      </w:pPr>
      <w:rPr>
        <w:rFonts w:ascii="Courier New" w:hAnsi="Courier New" w:cs="Courier New" w:hint="default"/>
      </w:rPr>
    </w:lvl>
    <w:lvl w:ilvl="2" w:tplc="10090005" w:tentative="1">
      <w:start w:val="1"/>
      <w:numFmt w:val="bullet"/>
      <w:lvlText w:val=""/>
      <w:lvlJc w:val="left"/>
      <w:pPr>
        <w:ind w:left="6126" w:hanging="360"/>
      </w:pPr>
      <w:rPr>
        <w:rFonts w:ascii="Wingdings" w:hAnsi="Wingdings" w:hint="default"/>
      </w:rPr>
    </w:lvl>
    <w:lvl w:ilvl="3" w:tplc="10090001" w:tentative="1">
      <w:start w:val="1"/>
      <w:numFmt w:val="bullet"/>
      <w:lvlText w:val=""/>
      <w:lvlJc w:val="left"/>
      <w:pPr>
        <w:ind w:left="6846" w:hanging="360"/>
      </w:pPr>
      <w:rPr>
        <w:rFonts w:ascii="Symbol" w:hAnsi="Symbol" w:hint="default"/>
      </w:rPr>
    </w:lvl>
    <w:lvl w:ilvl="4" w:tplc="10090003" w:tentative="1">
      <w:start w:val="1"/>
      <w:numFmt w:val="bullet"/>
      <w:lvlText w:val="o"/>
      <w:lvlJc w:val="left"/>
      <w:pPr>
        <w:ind w:left="7566" w:hanging="360"/>
      </w:pPr>
      <w:rPr>
        <w:rFonts w:ascii="Courier New" w:hAnsi="Courier New" w:cs="Courier New" w:hint="default"/>
      </w:rPr>
    </w:lvl>
    <w:lvl w:ilvl="5" w:tplc="10090005" w:tentative="1">
      <w:start w:val="1"/>
      <w:numFmt w:val="bullet"/>
      <w:lvlText w:val=""/>
      <w:lvlJc w:val="left"/>
      <w:pPr>
        <w:ind w:left="8286" w:hanging="360"/>
      </w:pPr>
      <w:rPr>
        <w:rFonts w:ascii="Wingdings" w:hAnsi="Wingdings" w:hint="default"/>
      </w:rPr>
    </w:lvl>
    <w:lvl w:ilvl="6" w:tplc="10090001" w:tentative="1">
      <w:start w:val="1"/>
      <w:numFmt w:val="bullet"/>
      <w:lvlText w:val=""/>
      <w:lvlJc w:val="left"/>
      <w:pPr>
        <w:ind w:left="9006" w:hanging="360"/>
      </w:pPr>
      <w:rPr>
        <w:rFonts w:ascii="Symbol" w:hAnsi="Symbol" w:hint="default"/>
      </w:rPr>
    </w:lvl>
    <w:lvl w:ilvl="7" w:tplc="10090003" w:tentative="1">
      <w:start w:val="1"/>
      <w:numFmt w:val="bullet"/>
      <w:lvlText w:val="o"/>
      <w:lvlJc w:val="left"/>
      <w:pPr>
        <w:ind w:left="9726" w:hanging="360"/>
      </w:pPr>
      <w:rPr>
        <w:rFonts w:ascii="Courier New" w:hAnsi="Courier New" w:cs="Courier New" w:hint="default"/>
      </w:rPr>
    </w:lvl>
    <w:lvl w:ilvl="8" w:tplc="10090005" w:tentative="1">
      <w:start w:val="1"/>
      <w:numFmt w:val="bullet"/>
      <w:lvlText w:val=""/>
      <w:lvlJc w:val="left"/>
      <w:pPr>
        <w:ind w:left="10446" w:hanging="360"/>
      </w:pPr>
      <w:rPr>
        <w:rFonts w:ascii="Wingdings" w:hAnsi="Wingdings" w:hint="default"/>
      </w:rPr>
    </w:lvl>
  </w:abstractNum>
  <w:abstractNum w:abstractNumId="6" w15:restartNumberingAfterBreak="0">
    <w:nsid w:val="3A366AE0"/>
    <w:multiLevelType w:val="multilevel"/>
    <w:tmpl w:val="A920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E1FDE"/>
    <w:multiLevelType w:val="hybridMultilevel"/>
    <w:tmpl w:val="8B6AC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4A2DC9"/>
    <w:multiLevelType w:val="hybridMultilevel"/>
    <w:tmpl w:val="691A8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EF"/>
    <w:rsid w:val="0001181E"/>
    <w:rsid w:val="000931A7"/>
    <w:rsid w:val="00174325"/>
    <w:rsid w:val="00291871"/>
    <w:rsid w:val="0029505A"/>
    <w:rsid w:val="00312CEB"/>
    <w:rsid w:val="00313643"/>
    <w:rsid w:val="0038513E"/>
    <w:rsid w:val="00400385"/>
    <w:rsid w:val="00521A02"/>
    <w:rsid w:val="005C17D5"/>
    <w:rsid w:val="00601249"/>
    <w:rsid w:val="006401F8"/>
    <w:rsid w:val="006C14A5"/>
    <w:rsid w:val="006D45EA"/>
    <w:rsid w:val="00816147"/>
    <w:rsid w:val="00825DEF"/>
    <w:rsid w:val="00877E13"/>
    <w:rsid w:val="00886C9D"/>
    <w:rsid w:val="009A20A8"/>
    <w:rsid w:val="009A76E4"/>
    <w:rsid w:val="009B4902"/>
    <w:rsid w:val="009F018F"/>
    <w:rsid w:val="00A80379"/>
    <w:rsid w:val="00A94E4B"/>
    <w:rsid w:val="00AE3686"/>
    <w:rsid w:val="00B50B65"/>
    <w:rsid w:val="00B541C6"/>
    <w:rsid w:val="00C26FE2"/>
    <w:rsid w:val="00CF2D3A"/>
    <w:rsid w:val="00D465E8"/>
    <w:rsid w:val="00D72496"/>
    <w:rsid w:val="00DD06D5"/>
    <w:rsid w:val="00E036A0"/>
    <w:rsid w:val="00E16F55"/>
    <w:rsid w:val="00E43506"/>
    <w:rsid w:val="00EA1E72"/>
    <w:rsid w:val="00EC307C"/>
    <w:rsid w:val="00F25EEF"/>
    <w:rsid w:val="00F4407D"/>
    <w:rsid w:val="00F52FDB"/>
    <w:rsid w:val="00FA7D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D05E"/>
  <w15:chartTrackingRefBased/>
  <w15:docId w15:val="{F08E5732-B158-42B4-87E9-3795DA67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541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249"/>
    <w:pPr>
      <w:ind w:left="720"/>
      <w:contextualSpacing/>
    </w:pPr>
  </w:style>
  <w:style w:type="paragraph" w:styleId="NoSpacing">
    <w:name w:val="No Spacing"/>
    <w:uiPriority w:val="1"/>
    <w:qFormat/>
    <w:rsid w:val="009A76E4"/>
    <w:pPr>
      <w:spacing w:after="0" w:line="240" w:lineRule="auto"/>
    </w:pPr>
  </w:style>
  <w:style w:type="character" w:styleId="Hyperlink">
    <w:name w:val="Hyperlink"/>
    <w:basedOn w:val="DefaultParagraphFont"/>
    <w:uiPriority w:val="99"/>
    <w:unhideWhenUsed/>
    <w:rsid w:val="00FA7D3A"/>
    <w:rPr>
      <w:color w:val="0563C1" w:themeColor="hyperlink"/>
      <w:u w:val="single"/>
    </w:rPr>
  </w:style>
  <w:style w:type="character" w:styleId="Mention">
    <w:name w:val="Mention"/>
    <w:basedOn w:val="DefaultParagraphFont"/>
    <w:uiPriority w:val="99"/>
    <w:semiHidden/>
    <w:unhideWhenUsed/>
    <w:rsid w:val="00FA7D3A"/>
    <w:rPr>
      <w:color w:val="2B579A"/>
      <w:shd w:val="clear" w:color="auto" w:fill="E6E6E6"/>
    </w:rPr>
  </w:style>
  <w:style w:type="character" w:customStyle="1" w:styleId="Heading1Char">
    <w:name w:val="Heading 1 Char"/>
    <w:basedOn w:val="DefaultParagraphFont"/>
    <w:link w:val="Heading1"/>
    <w:uiPriority w:val="9"/>
    <w:rsid w:val="00B541C6"/>
    <w:rPr>
      <w:rFonts w:ascii="Times New Roman" w:eastAsia="Times New Roman" w:hAnsi="Times New Roman" w:cs="Times New Roman"/>
      <w:b/>
      <w:bCs/>
      <w:kern w:val="36"/>
      <w:sz w:val="48"/>
      <w:szCs w:val="48"/>
      <w:lang w:eastAsia="en-CA"/>
    </w:rPr>
  </w:style>
  <w:style w:type="paragraph" w:styleId="BalloonText">
    <w:name w:val="Balloon Text"/>
    <w:basedOn w:val="Normal"/>
    <w:link w:val="BalloonTextChar"/>
    <w:uiPriority w:val="99"/>
    <w:semiHidden/>
    <w:unhideWhenUsed/>
    <w:rsid w:val="006D4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EA"/>
    <w:rPr>
      <w:rFonts w:ascii="Segoe UI" w:hAnsi="Segoe UI" w:cs="Segoe UI"/>
      <w:sz w:val="18"/>
      <w:szCs w:val="18"/>
    </w:rPr>
  </w:style>
  <w:style w:type="paragraph" w:styleId="Header">
    <w:name w:val="header"/>
    <w:basedOn w:val="Normal"/>
    <w:link w:val="HeaderChar"/>
    <w:uiPriority w:val="99"/>
    <w:unhideWhenUsed/>
    <w:rsid w:val="009F0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18F"/>
  </w:style>
  <w:style w:type="paragraph" w:styleId="Footer">
    <w:name w:val="footer"/>
    <w:basedOn w:val="Normal"/>
    <w:link w:val="FooterChar"/>
    <w:uiPriority w:val="99"/>
    <w:unhideWhenUsed/>
    <w:rsid w:val="009F0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2824">
      <w:bodyDiv w:val="1"/>
      <w:marLeft w:val="0"/>
      <w:marRight w:val="0"/>
      <w:marTop w:val="0"/>
      <w:marBottom w:val="0"/>
      <w:divBdr>
        <w:top w:val="none" w:sz="0" w:space="0" w:color="auto"/>
        <w:left w:val="none" w:sz="0" w:space="0" w:color="auto"/>
        <w:bottom w:val="none" w:sz="0" w:space="0" w:color="auto"/>
        <w:right w:val="none" w:sz="0" w:space="0" w:color="auto"/>
      </w:divBdr>
    </w:div>
    <w:div w:id="1151096663">
      <w:bodyDiv w:val="1"/>
      <w:marLeft w:val="0"/>
      <w:marRight w:val="0"/>
      <w:marTop w:val="0"/>
      <w:marBottom w:val="0"/>
      <w:divBdr>
        <w:top w:val="none" w:sz="0" w:space="0" w:color="auto"/>
        <w:left w:val="none" w:sz="0" w:space="0" w:color="auto"/>
        <w:bottom w:val="none" w:sz="0" w:space="0" w:color="auto"/>
        <w:right w:val="none" w:sz="0" w:space="0" w:color="auto"/>
      </w:divBdr>
    </w:div>
    <w:div w:id="14549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erenceboard.ca/documents/6264_accessibleworkplaces_br_av.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employment-social-development/programs/disability/eaf.html" TargetMode="External"/><Relationship Id="rId5" Type="http://schemas.openxmlformats.org/officeDocument/2006/relationships/webSettings" Target="webSettings.xml"/><Relationship Id="rId10" Type="http://schemas.openxmlformats.org/officeDocument/2006/relationships/hyperlink" Target="http://www.accessforward.ca/resources/Training%20Booklet%20for%20Small%20Private%20and%20Not%20For%20Profit%20Organizations.pdf" TargetMode="External"/><Relationship Id="rId4" Type="http://schemas.openxmlformats.org/officeDocument/2006/relationships/settings" Target="settings.xml"/><Relationship Id="rId9" Type="http://schemas.openxmlformats.org/officeDocument/2006/relationships/hyperlink" Target="https://www.ontario.ca/document/legislative-review-accessibility-ontarians-disabilities-a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B142-FA7A-4D7A-894E-89F0D471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MacEachern</dc:creator>
  <cp:keywords/>
  <dc:description/>
  <cp:lastModifiedBy>Kathleen MacEachern</cp:lastModifiedBy>
  <cp:revision>3</cp:revision>
  <cp:lastPrinted>2017-05-03T13:24:00Z</cp:lastPrinted>
  <dcterms:created xsi:type="dcterms:W3CDTF">2017-05-09T18:56:00Z</dcterms:created>
  <dcterms:modified xsi:type="dcterms:W3CDTF">2017-05-10T11:42:00Z</dcterms:modified>
</cp:coreProperties>
</file>